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Study report</w:t>
      </w:r>
    </w:p>
    <w:p>
      <w:pPr>
        <w:jc w:val="both"/>
        <w:spacing w:before="100" w:after="100"/>
        <w:ind w:start="360"/>
        <w:ind w:firstLine="360"/>
      </w:pPr>
      <w:r>
        <w:rPr/>
      </w:r>
      <w:r>
        <w:rPr/>
      </w:r>
      <w:r>
        <w:t xml:space="preserve">By March 15, 2011 and every 4 years after that date, the commission shall prepare for the joint standing committee of the Legislature having jurisdiction over legal affairs a report documenting, evaluating and making recommendations relating to the administration, implementation and enforcement of the Maine Clean Election Act and Maine Clean Election Fund.</w:t>
      </w:r>
      <w:r>
        <w:t xml:space="preserve">  </w:t>
      </w:r>
      <w:r xmlns:wp="http://schemas.openxmlformats.org/drawingml/2010/wordprocessingDrawing" xmlns:w15="http://schemas.microsoft.com/office/word/2012/wordml">
        <w:rPr>
          <w:rFonts w:ascii="Arial" w:hAnsi="Arial" w:cs="Arial"/>
          <w:sz w:val="22"/>
          <w:szCs w:val="22"/>
        </w:rPr>
        <w:t xml:space="preserve">[PL 2009, c. 190,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2009, c. 190,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 Study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Study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§1128. STUDY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