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Representatives to Congress</w:t>
      </w:r>
    </w:p>
    <w:p>
      <w:pPr>
        <w:jc w:val="both"/>
        <w:spacing w:before="100" w:after="100"/>
        <w:ind w:start="360"/>
        <w:ind w:firstLine="360"/>
      </w:pPr>
      <w:r>
        <w:rPr/>
      </w:r>
      <w:r>
        <w:rPr/>
      </w:r>
      <w:r>
        <w:t xml:space="preserve">When there is a vacancy in the office of Representative to Congress, the Governor shall issue a proclamation declaring the vacancy and ordering a special primary election followed by a special election to fill the vacancy as provided in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Congress in session.</w:t>
        <w:t xml:space="preserve"> </w:t>
      </w:r>
      <w:r>
        <w:t xml:space="preserve"> </w:t>
      </w:r>
      <w:r>
        <w:t xml:space="preserve">If Congress is in session, the elections must be held as soon as reasonably possible.  If Congress is not in session, the elections must be held before the next regular or called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 Representatives to Congress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Representatives to Congress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§392. REPRESENTATIVES TO CONGRESS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