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Standard tests approved by department</w:t>
      </w:r>
    </w:p>
    <w:p>
      <w:pPr>
        <w:jc w:val="both"/>
        <w:spacing w:before="100" w:after="100"/>
        <w:ind w:start="360"/>
        <w:ind w:firstLine="360"/>
      </w:pPr>
      <w:r>
        <w:rPr/>
      </w:r>
      <w:r>
        <w:rPr/>
      </w:r>
      <w:r>
        <w:t xml:space="preserve">The department is authorized to approve one or more tests for syphilis and rh factor which shall be known as standard tests, and may approve and appoint other laboratories in addition to the state laboratory to make such tests. Whenever such laboratory performs a test for syphilis which reveals the possibility of syphilitic infection, it shall report this finding and the name, address, age and sex of the person from whom the specimen was taken to the department.</w:t>
      </w:r>
      <w:r>
        <w:t xml:space="preserve">  </w:t>
      </w:r>
      <w:r xmlns:wp="http://schemas.openxmlformats.org/drawingml/2010/wordprocessingDrawing" xmlns:w15="http://schemas.microsoft.com/office/word/2012/wordml">
        <w:rPr>
          <w:rFonts w:ascii="Arial" w:hAnsi="Arial" w:cs="Arial"/>
          <w:sz w:val="22"/>
          <w:szCs w:val="22"/>
        </w:rPr>
        <w:t xml:space="preserve">[PL 1971, c. 330,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Standard tests approved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Standard tests approved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§1232. STANDARD TESTS APPROVED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