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1502-A</w:t>
        <w:t xml:space="preserve">.  </w:t>
      </w:r>
      <w:r>
        <w:rPr>
          <w:b/>
        </w:rPr>
        <w:t xml:space="preserve">Consent to give blood</w:t>
      </w:r>
    </w:p>
    <w:p>
      <w:pPr>
        <w:jc w:val="both"/>
        <w:spacing w:before="100" w:after="100"/>
        <w:ind w:start="360"/>
        <w:ind w:firstLine="360"/>
      </w:pPr>
      <w:r>
        <w:rPr/>
      </w:r>
      <w:r>
        <w:rPr/>
      </w:r>
      <w:r>
        <w:t xml:space="preserve">A minor may consent to give blood if the minor is at least 17 years of age, notwithstanding any other provision of law.</w:t>
      </w:r>
      <w:r>
        <w:t xml:space="preserve">  </w:t>
      </w:r>
      <w:r xmlns:wp="http://schemas.openxmlformats.org/drawingml/2010/wordprocessingDrawing" xmlns:w15="http://schemas.microsoft.com/office/word/2012/wordml">
        <w:rPr>
          <w:rFonts w:ascii="Arial" w:hAnsi="Arial" w:cs="Arial"/>
          <w:sz w:val="22"/>
          <w:szCs w:val="22"/>
        </w:rPr>
        <w:t xml:space="preserve">[PL 1999, c. 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§1502-A. Consent to give blood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§1502-A. Consent to give blood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§1502-A. CONSENT TO GIVE BLOOD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