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Consent</w:t>
      </w:r>
    </w:p>
    <w:p>
      <w:pPr>
        <w:jc w:val="both"/>
        <w:spacing w:before="100" w:after="100"/>
        <w:ind w:start="360"/>
        <w:ind w:firstLine="360"/>
      </w:pPr>
      <w:r>
        <w:rPr/>
      </w:r>
      <w:r>
        <w:rPr/>
      </w:r>
      <w:r>
        <w:t xml:space="preserve">In addition to the ability to consent to treatment for health services as provided in </w:t>
      </w:r>
      <w:r>
        <w:t>sections 1823</w:t>
      </w:r>
      <w:r>
        <w:t xml:space="preserve"> and </w:t>
      </w:r>
      <w:r>
        <w:t>1908</w:t>
      </w:r>
      <w:r>
        <w:t xml:space="preserve"> and </w:t>
      </w:r>
      <w:r>
        <w:t>Title 32, sections 2595</w:t>
      </w:r>
      <w:r>
        <w:t xml:space="preserve">, </w:t>
      </w:r>
      <w:r>
        <w:t>3292</w:t>
      </w:r>
      <w:r>
        <w:t xml:space="preserve">, </w:t>
      </w:r>
      <w:r>
        <w:t>3817</w:t>
      </w:r>
      <w:r>
        <w:t xml:space="preserve">, </w:t>
      </w:r>
      <w:r>
        <w:t>6221</w:t>
      </w:r>
      <w:r>
        <w:t xml:space="preserve"> and </w:t>
      </w:r>
      <w:r>
        <w:t>7004</w:t>
      </w:r>
      <w:r>
        <w:t xml:space="preserve">, a minor may consent to treatment for substance use disorder or for emotional or psychological problems.</w:t>
      </w:r>
      <w:r>
        <w:t xml:space="preserve">  </w:t>
      </w:r>
      <w:r xmlns:wp="http://schemas.openxmlformats.org/drawingml/2010/wordprocessingDrawing" xmlns:w15="http://schemas.microsoft.com/office/word/2012/wordml">
        <w:rPr>
          <w:rFonts w:ascii="Arial" w:hAnsi="Arial" w:cs="Arial"/>
          <w:sz w:val="22"/>
          <w:szCs w:val="22"/>
        </w:rPr>
        <w:t xml:space="preserve">[PL 2017, c. 407,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2017, c. 407, Pt. A,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§1502.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