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1634</w:t>
        <w:t xml:space="preserve">.  </w:t>
      </w:r>
      <w:r>
        <w:rPr>
          <w:b/>
        </w:rPr>
        <w:t xml:space="preserve">Municipal ordinances</w:t>
      </w:r>
    </w:p>
    <w:p>
      <w:pPr>
        <w:jc w:val="both"/>
        <w:spacing w:before="100" w:after="100"/>
        <w:ind w:start="360"/>
        <w:ind w:firstLine="360"/>
      </w:pPr>
      <w:r>
        <w:rPr/>
      </w:r>
      <w:r>
        <w:rPr/>
      </w:r>
      <w:r>
        <w:t xml:space="preserve">Nothing in this chapter may be construed as a preemption by the State. Municipalities may adopt and enforce swimming pool enclosure ordinances, or enforce existing ordinances, that are either less restrictive or more restrictive than this chapter, or that concern matters not dealt with by this chapter.</w:t>
      </w:r>
      <w:r>
        <w:t xml:space="preserve">  </w:t>
      </w:r>
      <w:r xmlns:wp="http://schemas.openxmlformats.org/drawingml/2010/wordprocessingDrawing" xmlns:w15="http://schemas.microsoft.com/office/word/2012/wordml">
        <w:rPr>
          <w:rFonts w:ascii="Arial" w:hAnsi="Arial" w:cs="Arial"/>
          <w:sz w:val="22"/>
          <w:szCs w:val="22"/>
        </w:rPr>
        <w:t xml:space="preserve">[PL 1983, c. 436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§1634. Municipal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§1634. MUNICIPAL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