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1698</w:t>
        <w:t xml:space="preserve">.  </w:t>
      </w:r>
      <w:r>
        <w:rPr>
          <w:b/>
        </w:rPr>
        <w:t xml:space="preserve">Providers of work-site high blood pressure programs</w:t>
      </w:r>
    </w:p>
    <w:p>
      <w:pPr>
        <w:jc w:val="both"/>
        <w:spacing w:before="100" w:after="100"/>
        <w:ind w:start="360"/>
        <w:ind w:firstLine="360"/>
      </w:pPr>
      <w:r>
        <w:rPr/>
      </w:r>
      <w:r>
        <w:rPr/>
      </w:r>
      <w:r>
        <w:t xml:space="preserve">The Bureau of Health shall actively seek health care providers throughout the State to participate in identifying workers with high blood pressure and helping them control their disease through physician-prescribed treatment regimen.  Standards of quality and criteria for awarding service contracts to health care providers shall be based on recommendations developed in partnership with the Maine High Blood Pressure Council, a statewide voluntary health council.  The objective of these criteria will be to achieve high quality, cost-effective health programs which comply with state and federal standards.</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§1698. Providers of work-site high blood pressure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§1698. Providers of work-site high blood pressure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§1698. PROVIDERS OF WORK-SITE HIGH BLOOD PRESSURE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