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Availability</w:t>
      </w:r>
    </w:p>
    <w:p>
      <w:pPr>
        <w:jc w:val="both"/>
        <w:spacing w:before="100" w:after="100"/>
        <w:ind w:start="360"/>
        <w:ind w:firstLine="360"/>
      </w:pPr>
      <w:r>
        <w:rPr/>
      </w:r>
      <w:r>
        <w:rPr/>
      </w:r>
      <w:r>
        <w:t xml:space="preserve">To the extent family planning funds are available, the department shall provide family planning services to medically indigent persons eligible for such services as determined by rules adopted by the commissioner. Family planning services must also be available to all others who are unable to reasonably obtain these services privately, at a reasonable cost to be determined by the rules adopted by the commissioner. Any funds so collected must be retained by the department for the support of these services.</w:t>
      </w:r>
      <w:r>
        <w:t xml:space="preserve">  </w:t>
      </w:r>
      <w:r xmlns:wp="http://schemas.openxmlformats.org/drawingml/2010/wordprocessingDrawing" xmlns:w15="http://schemas.microsoft.com/office/word/2012/wordml">
        <w:rPr>
          <w:rFonts w:ascii="Arial" w:hAnsi="Arial" w:cs="Arial"/>
          <w:sz w:val="22"/>
          <w:szCs w:val="22"/>
        </w:rPr>
        <w:t xml:space="preserve">[PL 2019, c. 236,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§§B6,7 (REV). PL 2019, c. 236,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§1906.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