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Annual reports</w:t>
      </w:r>
    </w:p>
    <w:p>
      <w:pPr>
        <w:jc w:val="both"/>
        <w:spacing w:before="100" w:after="100"/>
        <w:ind w:start="360"/>
        <w:ind w:firstLine="360"/>
      </w:pPr>
      <w:r>
        <w:rPr/>
      </w:r>
      <w:r>
        <w:rPr/>
      </w:r>
      <w:r>
        <w:t xml:space="preserve">Within 4 months after the close of each fiscal year of the authority, the executive director of the authority shall prepare and submit a complete financial report to the Governor and to the Legislature, duly audited and certified by the auditor of accounts of the operations and activities of the authority during the preceding fiscal year to be distributed in the same way as state departmental reports.  Within 5 months after the close of the authority's fiscal year, the executive director shall prepare and submit to the Legislature a detailed report on the activities of the authority during the preceding fiscal year.  The report must contain information concerning the authority's financial and operational activities, including, but not limited to, resolutions, projects, grants, mortgages and loans.  The report also must address continuing and potential problems with finances, operations and projects.</w:t>
      </w:r>
      <w:r>
        <w:t xml:space="preserve">  </w:t>
      </w:r>
      <w:r xmlns:wp="http://schemas.openxmlformats.org/drawingml/2010/wordprocessingDrawing" xmlns:w15="http://schemas.microsoft.com/office/word/2012/wordml">
        <w:rPr>
          <w:rFonts w:ascii="Arial" w:hAnsi="Arial" w:cs="Arial"/>
          <w:sz w:val="22"/>
          <w:szCs w:val="22"/>
        </w:rPr>
        <w:t xml:space="preserve">[PL 1999,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1975, c. 771, §218 (AMD). PL 1999,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§2069.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§2069.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