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§§8-19 (AMD). PL 2009, c. 631, §51 (AFF). PL 2011, c. 407, Pt. B, §§1-15 (AMD). PL 2013, c. 361, §1 (AMD). PL 2013, c. 396, §1 (AMD). PL 2013, c. 503, §1 (AMD). PL 2013, c. 516, §§1-5 (AMD). PL 2015, c. 475, §§1-5 (AMD). PL 2017, c. 409, Pt. E, §2 (AMD). PL 2017, c. 447, §§1-3 (AMD). PL 2017, c. 452, §3 (AMD). PL 2019, c. 217, §1 (AMD). PL 2019, c. 256, §1 (AMD). PL 2019, c. 331, §§1-4 (AMD). PL 2019, c. 528, §§12-16 (AMD). PL 2021, c. 251, §§1-3 (AMD). PL 2021, c. 293, Pt. A, §§25, 26 (AMD). PL 2021, c. 662, §§1-8 (AMD). PL 2021, c. 669, §3 (AMD). PL 2021, c. 669, §5 (REV). PL 2021, c. 676, Pt. A, §33 (AMD). PL 2023, c. 6, §1 (AMD). PL 2023, c. 679,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