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Forfeiture</w:t>
      </w:r>
    </w:p>
    <w:p>
      <w:pPr>
        <w:jc w:val="both"/>
        <w:spacing w:before="100" w:after="0"/>
        <w:ind w:start="360"/>
        <w:ind w:firstLine="360"/>
      </w:pPr>
      <w:r>
        <w:rPr>
          <w:b/>
        </w:rPr>
        <w:t>1</w:t>
        <w:t xml:space="preserve">.  </w:t>
      </w:r>
      <w:r>
        <w:rPr>
          <w:b/>
        </w:rPr>
        <w:t xml:space="preserve">Transportation in intrastate commerce.</w:t>
        <w:t xml:space="preserve"> </w:t>
      </w:r>
      <w:r>
        <w:t xml:space="preserve"> </w:t>
      </w:r>
      <w:r>
        <w:t xml:space="preserve">Any livestock product or poultry product of any dead, dying, disabled or diseased livestock or poultry that is being transported in intrastate commerce, is otherwise subject to this chapter or is held for sale in this State after transportation, and that is or has been prepared, sold, transported or otherwise distributed or offered or received for distribution in violation of this chapter or the rules adopted under this chapter; is adulterated or misbranded and is useable as human food; or in any other way is in violation of this chapter is liable to be proceeded against and seized and condemned, at any time, on a complaint in Superior Court as provided in </w:t>
      </w:r>
      <w:r>
        <w:t>section 2527</w:t>
      </w:r>
      <w:r>
        <w:t xml:space="preserve">.  If the product or animal is condemned it must, after entry of the decree, be disposed of by destruction or sale as the court may direct and the proceeds, if sold, less the court costs and fees and storage and other proper expenses, must be paid into the State Treasury.  The product or animal may not be sold contrary to the provisions of this chapter, the federal acts or the Federal Food, Drug, and Cosmetic Act.  Upon the execution and delivery of a good and sufficient bond guaranteeing that the  product or animal will not be sold or otherwise disposed of contrary to the provisions of this chapter or the laws of the United States, the court may direct that the product or animal be delivered to the owner, subject to supervision by authorized representatives of the commissioner to ensure compliance with the applicable laws.  If a decree of condemnation is entered against the product or animal and it is released under bond or destroyed, court costs and fees and storage and other proper expenses must be awarded against the person, if any, intervening as claimant of the product or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Unimpaired authority.</w:t>
        <w:t xml:space="preserve"> </w:t>
      </w:r>
      <w:r>
        <w:t xml:space="preserve"> </w:t>
      </w:r>
      <w:r>
        <w:t xml:space="preserve">This section does not impair the authority for condemnation or seizure conferred by other provisions of this chapter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§2526.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§2526.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