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§256-A. HEALTH CARE OCCUPATIONS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