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2842-A</w:t>
        <w:t xml:space="preserve">.  </w:t>
      </w:r>
      <w:r>
        <w:rPr>
          <w:b/>
        </w:rPr>
        <w:t xml:space="preserve">Identification of dead human bodies with communicable diseases</w:t>
      </w:r>
    </w:p>
    <w:p>
      <w:pPr>
        <w:jc w:val="both"/>
        <w:spacing w:before="100" w:after="100"/>
        <w:ind w:start="360"/>
        <w:ind w:firstLine="360"/>
      </w:pPr>
      <w:r>
        <w:rPr/>
      </w:r>
      <w:r>
        <w:rPr/>
      </w:r>
      <w:r>
        <w:t xml:space="preserve">The department shall promulgate rules providing for notification to funeral directors or other authorized agents in charge of the disposition of dead human bodies in cases when the body has been diagnosed as having a communicable disease.</w:t>
      </w:r>
      <w:r>
        <w:t xml:space="preserve">  </w:t>
      </w:r>
      <w:r xmlns:wp="http://schemas.openxmlformats.org/drawingml/2010/wordprocessingDrawing" xmlns:w15="http://schemas.microsoft.com/office/word/2012/wordml">
        <w:rPr>
          <w:rFonts w:ascii="Arial" w:hAnsi="Arial" w:cs="Arial"/>
          <w:sz w:val="22"/>
          <w:szCs w:val="22"/>
        </w:rPr>
        <w:t xml:space="preserve">[PL 1987, c. 811, §20 (NEW).]</w:t>
      </w:r>
    </w:p>
    <w:p>
      <w:pPr>
        <w:jc w:val="both"/>
        <w:spacing w:before="100" w:after="100"/>
        <w:ind w:start="360"/>
        <w:ind w:firstLine="360"/>
      </w:pPr>
      <w:r>
        <w:rPr/>
      </w:r>
      <w:r>
        <w:rPr/>
      </w:r>
      <w:r>
        <w:t xml:space="preserve">Notification pursuant to this section is not a violation of this Title or </w:t>
      </w:r>
      <w:r>
        <w:t>Title 5, chapter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811,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§2842-A. Identification of dead human bodies with communicable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§2842-A. Identification of dead human bodies with communicable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§2842-A. IDENTIFICATION OF DEAD HUMAN BODIES WITH COMMUNICABLE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