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2886</w:t>
        <w:t xml:space="preserve">.  </w:t>
      </w:r>
      <w:r>
        <w:rPr>
          <w:b/>
        </w:rPr>
        <w:t xml:space="preserve">Bond for proper disposal; trafficking outside of State</w:t>
      </w:r>
    </w:p>
    <w:p>
      <w:pPr>
        <w:jc w:val="both"/>
        <w:spacing w:before="100" w:after="100"/>
        <w:ind w:start="360"/>
        <w:ind w:firstLine="360"/>
      </w:pPr>
      <w:r>
        <w:rPr/>
      </w:r>
      <w:r>
        <w:rPr/>
      </w:r>
      <w:r>
        <w:t xml:space="preserve">A school, college, university, recognized medical school in New England or physician or surgeon may not receive a body until a bond is given to the Treasurer of State by the physician or surgeon, or by and in behalf of the school, college, university or recognized medical school in New England, to be approved by a justice of a court of record in and for the county in which the physician or surgeon resides or in which the school, college, university or recognized medical school in New England is situated. The bond must be in the penal sum of $1,000, conditioned that all bodies that the physician or surgeon or the school, college, university or recognized medical school in New England receives thereafter are used only for the promotion within the State of medical education, which includes nursing training and premedical education, and, when no longer needed for such educational purposes, are decently buried, cremated or subjected to natural organic reduction. The bond must be examined annually in the month of December by the Treasurer of State and the Treasurer of State shall certify in writing upon each bond in the Treasurer of State's possession approval of the bond.  If a bond is not approved by the Treasurer of State, the Treasurer of State shall immediately notify the party giving the bond, who shall forthwith file a new bond.  A person that sells or buys a body or in any way trafficks in the same, transmits or conveys a body to any place outside of the State or causes the same to be done, except as provided in </w:t>
      </w:r>
      <w:r>
        <w:t>section 2884</w:t>
      </w:r>
      <w:r>
        <w:t xml:space="preserve">, must be punished by a fine of not more than $200 or by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2023, c. 676,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§147 (COR). PL 2023, c. 676,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§2886. Bond for proper disposal; trafficking outside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§2886. Bond for proper disposal; trafficking outside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§2886. BOND FOR PROPER DISPOSAL; TRAFFICKING OUTSIDE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