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 MEDICAL COVERAGE PROGRAM FOR CERTAIN BOARDING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