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3174-Z</w:t>
        <w:t xml:space="preserve">.  </w:t>
      </w:r>
      <w:r>
        <w:rPr>
          <w:b/>
        </w:rPr>
        <w:t xml:space="preserve">Private, nonmedical and board and care institutions</w:t>
      </w:r>
    </w:p>
    <w:p>
      <w:pPr>
        <w:jc w:val="both"/>
        <w:spacing w:before="100" w:after="100"/>
        <w:ind w:start="360"/>
        <w:ind w:firstLine="360"/>
      </w:pPr>
      <w:r>
        <w:rPr/>
      </w:r>
      <w:r>
        <w:rPr/>
      </w:r>
      <w:r>
        <w:t xml:space="preserve">Rules concerning the principles for reimbursement for private, nonmedical and board and care institutions must be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§3174-Z. Private, nonmedical and board and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§3174-Z. Private, nonmedical and board and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§3174-Z. PRIVATE, NONMEDICAL AND BOARD AND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