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3187</w:t>
        <w:t xml:space="preserve">.  </w:t>
      </w:r>
      <w:r>
        <w:rPr>
          <w:b/>
        </w:rPr>
        <w:t xml:space="preserve">Principles of reimbursement; rules</w:t>
      </w:r>
    </w:p>
    <w:p>
      <w:pPr>
        <w:jc w:val="both"/>
        <w:spacing w:before="100" w:after="100"/>
        <w:ind w:start="360"/>
        <w:ind w:firstLine="360"/>
      </w:pPr>
      <w:r>
        <w:rPr/>
      </w:r>
      <w:r>
        <w:rPr/>
      </w:r>
      <w:r>
        <w:t xml:space="preserve">The department shall meet annually with providers of community-based intermediate care facilities for persons with intellectual disabilities to review current principles of reimbursement under the federal Social Security Act, Title XIX, 42 United States Code, Chapter 7 and discuss necessary and appropriate changes.</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w:pPr>
        <w:jc w:val="both"/>
        <w:spacing w:before="100" w:after="100"/>
        <w:ind w:start="360"/>
        <w:ind w:firstLine="360"/>
      </w:pPr>
      <w:r>
        <w:rPr/>
      </w:r>
      <w:r>
        <w:rPr/>
      </w:r>
      <w:r>
        <w:t xml:space="preserve">Principles of reimbursement established for intermediate care facilities for persons with intellectual disabilities must ensure maximum flexibility enabling facilities to shift variable cost funds within accounts established pursuant to the principles.  These principles may not set any artificial limits on specific variable cost accounts as long as facility totals are met.</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w:pPr>
        <w:jc w:val="both"/>
        <w:spacing w:before="100" w:after="100"/>
        <w:ind w:start="360"/>
        <w:ind w:firstLine="360"/>
      </w:pPr>
      <w:r>
        <w:rPr/>
      </w:r>
      <w:r>
        <w:rPr/>
      </w:r>
      <w:r>
        <w:t xml:space="preserve">Rules regarding principles of reimbursement for intermediate care facilities for persons with intellectual disabilities adopted pursuant to </w:t>
      </w:r>
      <w:r>
        <w:t>section 3173</w:t>
      </w:r>
      <w:r>
        <w:t xml:space="preserve"> are major substantive rules as defined in </w:t>
      </w:r>
      <w:r>
        <w:t>Title 5, chapter 375, subchapter 2‑A</w:t>
      </w:r>
      <w:r>
        <w:t xml:space="preserve">, except that rules adopted to establish an approval process for capital expenditures to renovate or construct intermediate care facilities for persons with intellectual disabilities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§A141 (NEW). PL 1995, c. 462, §A43 (AMD). PL 2003, c. 684, §1 (AMD). PL 2011, c. 380, Pt. XXX, §1 (AMD). PL 2011, c. 542, Pt. 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§3187. Principles of reimbursement;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§3187. Principles of reimbursement;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§3187. PRINCIPLES OF REIMBURSEMENT;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