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3769-E</w:t>
        <w:t xml:space="preserve">.  </w:t>
      </w:r>
      <w:r>
        <w:rPr>
          <w:b/>
        </w:rPr>
        <w:t xml:space="preserve">Temporary Assistance for Needy Families block grant; increased heating assistance</w:t>
      </w:r>
    </w:p>
    <w:p>
      <w:pPr>
        <w:jc w:val="both"/>
        <w:spacing w:before="100" w:after="100"/>
        <w:ind w:start="360"/>
        <w:ind w:firstLine="360"/>
      </w:pPr>
      <w:r>
        <w:rPr/>
      </w:r>
      <w:r>
        <w:rPr/>
      </w:r>
      <w:r>
        <w:t xml:space="preserve">In fiscal year 2017-18 and annually thereafter, the Department of Health and Human Services shall provide $3,000,000 in funds provided under the Temporary Assistance for Needy Families block grant to the Maine State Housing Authority to provide heating assistance for low-income families with children.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Funds provided under this section must be used to supplement funds available under the Low-Income Home Energy Assistance Program administered by the federal Department of Health and Human Services and must be made available to families with children at or below 170% of the federal poverty level that qualify for that program under rules established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The Maine State Housing Authority may retain what the department determines to be a reasonable administrative fee from the Temporary Assistance for Needy Families block grant for the cost of administering the heating assistance available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§3769-E. Temporary Assistance for Needy Families block grant; increased heating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§3769-E. Temporary Assistance for Needy Families block grant; increased heating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§3769-E. TEMPORARY ASSISTANCE FOR NEEDY FAMILIES BLOCK GRANT; INCREASED HEATING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