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Confidentiality of employee records</w:t>
      </w:r>
    </w:p>
    <w:p>
      <w:pPr>
        <w:jc w:val="both"/>
        <w:spacing w:before="100" w:after="100"/>
        <w:ind w:start="360"/>
        <w:ind w:firstLine="360"/>
      </w:pPr>
      <w:r>
        <w:rPr/>
      </w:r>
      <w:r>
        <w:rPr/>
      </w:r>
      <w:r>
        <w:t xml:space="preserve">Notwithstanding </w:t>
      </w:r>
      <w:r>
        <w:t>Title 5, section 7070, subsection 2, paragraph E</w:t>
      </w:r>
      <w:r>
        <w:t xml:space="preserve"> or any other provision of law, the confidentiality of employee records is abrogated in relation to required reporting, cooperating with the department or guardian ad litem in an investigation or other child protective activity or giving evidence in a child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2023, c. 405,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PL 2023, c. 405, Pt. A,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§4016. Confidentiality of employee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Confidentiality of employee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§4016. CONFIDENTIALITY OF EMPLOYEE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