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Appropriate authority in the receiving state</w:t>
      </w:r>
    </w:p>
    <w:p>
      <w:pPr>
        <w:jc w:val="both"/>
        <w:spacing w:before="100" w:after="100"/>
        <w:ind w:start="360"/>
        <w:ind w:firstLine="360"/>
      </w:pPr>
      <w:r>
        <w:rPr/>
      </w:r>
      <w:r>
        <w:rPr/>
      </w:r>
      <w:r>
        <w:t xml:space="preserve">As used in the first paragraph of </w:t>
      </w:r>
      <w:r>
        <w:t>Article V</w:t>
      </w:r>
      <w:r>
        <w:t xml:space="preserve"> of the Interstate Compact on the Placement of Children, the phrase "appropriate authority in the receiving state" with reference to this State shall mean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§4244. Appropriate authority in the receiving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Appropriate authority in the receiving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§4244. APPROPRIATE AUTHORITY IN THE RECEIVING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