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4245</w:t>
        <w:t xml:space="preserve">.  </w:t>
      </w:r>
      <w:r>
        <w:rPr>
          <w:b/>
        </w:rPr>
        <w:t xml:space="preserve">Authority to enter into agreements</w:t>
      </w:r>
    </w:p>
    <w:p>
      <w:pPr>
        <w:jc w:val="both"/>
        <w:spacing w:before="100" w:after="100"/>
        <w:ind w:start="360"/>
        <w:ind w:firstLine="360"/>
      </w:pPr>
      <w:r>
        <w:rPr/>
      </w:r>
      <w:r>
        <w:rPr/>
      </w:r>
      <w:r>
        <w:t xml:space="preserve">The officers and agencies of this State and its subdivisions having authority to place children are empowered to enter into agreements with appropriate officers or agencies of or in other party states pursuant to the 2nd paragraph of </w:t>
      </w:r>
      <w:r>
        <w:t>Article V</w:t>
      </w:r>
      <w:r>
        <w:t xml:space="preserve"> of the Interstate Compact on the Placement of Children. Any such agreement which contains a financial commitment or imposes a financial obligation on this State or subdivision or agency thereof shall not be binding unless it has the approval in writing of the Commissioner of Health and Human Services in the case of the State and of the chief local fiscal officer in the case of a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§4245. Authority to enter into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§4245. Authority to enter into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§4245. AUTHORITY TO ENTER INTO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