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4247</w:t>
        <w:t xml:space="preserve">.  </w:t>
      </w:r>
      <w:r>
        <w:rPr>
          <w:b/>
        </w:rPr>
        <w:t xml:space="preserve">Executive head</w:t>
      </w:r>
    </w:p>
    <w:p>
      <w:pPr>
        <w:jc w:val="both"/>
        <w:spacing w:before="100" w:after="100"/>
        <w:ind w:start="360"/>
        <w:ind w:firstLine="360"/>
      </w:pPr>
      <w:r>
        <w:rPr/>
      </w:r>
      <w:r>
        <w:rPr/>
      </w:r>
      <w:r>
        <w:t xml:space="preserve">As used in </w:t>
      </w:r>
      <w:r>
        <w:t>Article VII</w:t>
      </w:r>
      <w:r>
        <w:t xml:space="preserve"> of the Interstate Compact on the Placement of Children, the term "executive head" means the Governor. The Governor is authorized to appoint a compact administrator in accordance with the terms of said </w:t>
      </w:r>
      <w:r>
        <w:t>Article VII</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§4247. Executive head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§4247. Executive head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§4247. EXECUTIVE HEAD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