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7249-B</w:t>
        <w:t xml:space="preserve">.  </w:t>
      </w:r>
      <w:r>
        <w:rPr>
          <w:b/>
        </w:rPr>
        <w:t xml:space="preserve">Opioid medication distribution monitoring information</w:t>
      </w:r>
    </w:p>
    <w:p>
      <w:pPr>
        <w:jc w:val="both"/>
        <w:spacing w:before="100" w:after="100"/>
        <w:ind w:start="360"/>
        <w:ind w:firstLine="360"/>
      </w:pPr>
      <w:r>
        <w:rPr/>
      </w:r>
      <w:r>
        <w:rPr/>
      </w:r>
      <w:r>
        <w:t xml:space="preserve">A manufacturer of an opioid medication that is available in this State and a wholesaler that sells or distributes an opioid medication in this State shall submit to the department, by electronic means or other format specified in a waiver granted by the department, information for this State submitted to the United States Drug Enforcement Administration's Automation of Reports and Consolidated Orders System pursuant to 21 United States Code, Subchapter I and 21 Code of Federal Regulations, Section 1304.33 at the time that information is submitted to the United States Drug Enforcement Administration. As used in this section, the terms "manufacturer" and "opioid medication" have the same meanings as in </w:t>
      </w:r>
      <w:r>
        <w:t>Title 32, section 13702‑A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536,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§7249-B. Opioid medication distribution monitoring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§7249-B. Opioid medication distribution monitoring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§7249-B. OPIOID MEDICATION DISTRIBUTION MONITORING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