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w:t>
        <w:t xml:space="preserve">.  </w:t>
      </w:r>
      <w:r>
        <w:rPr>
          <w:b/>
        </w:rPr>
        <w:t xml:space="preserve">Unlawful acts and penalties</w:t>
      </w:r>
    </w:p>
    <w:p>
      <w:pPr>
        <w:jc w:val="both"/>
        <w:spacing w:before="100" w:after="0"/>
        <w:ind w:start="360"/>
        <w:ind w:firstLine="360"/>
      </w:pPr>
      <w:r>
        <w:rPr>
          <w:b/>
        </w:rPr>
        <w:t>1</w:t>
        <w:t xml:space="preserve">.  </w:t>
      </w:r>
      <w:r>
        <w:rPr>
          <w:b/>
        </w:rPr>
        <w:t xml:space="preserve">Failure to submit information.</w:t>
        <w:t xml:space="preserve"> </w:t>
      </w:r>
      <w:r>
        <w:t xml:space="preserve"> </w:t>
      </w:r>
      <w:r>
        <w:t xml:space="preserve">A dispenser who knowingly fails to submit prescription monitoring information to the department as required by this chapter commits a civil violation for which a fine of $250 per incident, not to exceed $5,000 per calendar year, may be adjudged and is subject to discipline by the Maine Board of Pharmacy pursuant to </w:t>
      </w:r>
      <w:r>
        <w:t>Title 32, chapter 117, subchapter 4</w:t>
      </w:r>
      <w:r>
        <w:t xml:space="preserve">, by the State Board of Veterinary Medicine pursuant to </w:t>
      </w:r>
      <w:r>
        <w:t>Title 32, chapter 71‑A</w:t>
      </w:r>
      <w:r>
        <w:t xml:space="preserve"> or by the applicable professional licensing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§5 (AMD).]</w:t>
      </w:r>
    </w:p>
    <w:p>
      <w:pPr>
        <w:jc w:val="both"/>
        <w:spacing w:before="100" w:after="0"/>
        <w:ind w:start="360"/>
        <w:ind w:firstLine="360"/>
      </w:pPr>
      <w:r>
        <w:rPr>
          <w:b/>
        </w:rPr>
        <w:t>2</w:t>
        <w:t xml:space="preserve">.  </w:t>
      </w:r>
      <w:r>
        <w:rPr>
          <w:b/>
        </w:rPr>
        <w:t xml:space="preserve">Unlawful disclosure or use of information.</w:t>
        <w:t xml:space="preserve"> </w:t>
      </w:r>
      <w:r>
        <w:t xml:space="preserve"> </w:t>
      </w:r>
      <w:r>
        <w:t xml:space="preserve">A person who intentionally or knowingly uses or discloses prescription monitoring information in violation of this chapter, unless otherwise authorized by law,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§70 (AMD). PL 2015, c. 488, §8 (AMD). PL 2017, c. 360,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§7251. Unlawful acts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 Unlawful acts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§7251. UNLAWFUL ACTS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