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§7253. PRESCRIBERS AND DISPENSERS REQUIRED TO CHECK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