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Rules</w:t>
      </w:r>
    </w:p>
    <w:p>
      <w:pPr>
        <w:jc w:val="both"/>
        <w:spacing w:before="100" w:after="100"/>
        <w:ind w:start="360"/>
        <w:ind w:firstLine="360"/>
      </w:pPr>
      <w:r>
        <w:rPr/>
      </w:r>
      <w:r>
        <w:rPr/>
      </w:r>
      <w:r>
        <w:t xml:space="preserve">The department shall adopt rules as necessary for the effective administration of the program pursuant to this chapter, in accordance with the Maine Administrative Procedure Act. In the development of such rules, the department shall consult with consumers, representatives of consumers and providers.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