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Rebasing</w:t>
      </w:r>
    </w:p>
    <w:p>
      <w:pPr>
        <w:jc w:val="both"/>
        <w:spacing w:before="100" w:after="100"/>
        <w:ind w:start="360"/>
        <w:ind w:firstLine="360"/>
      </w:pPr>
      <w:r>
        <w:rPr/>
      </w:r>
      <w:r>
        <w:rPr/>
      </w:r>
      <w:r>
        <w:t xml:space="preserve">Except as otherwise provided, the department shall rebase reimbursement rates for the MaineCare program and other state-funded program reimbursement rates described in </w:t>
      </w:r>
      <w:r>
        <w:t>section 7402</w:t>
      </w:r>
      <w:r>
        <w:t xml:space="preserve"> at least every 5 years.  Rebasing must be based on the most recent cost report filings available or provider cost surveys or other market data when cost reports are not available. The department may provide a mechanism for subsequent adjustments to base year costs to reflect any differences it determines are material between as-filed cost reports used in rebasing and subsequent determinations of audited, allowable costs for the same fiscal period.</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§7403. Rebasing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Rebasing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§7403. REBASING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