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Construction and severability -- Article IX</w:t>
      </w:r>
    </w:p>
    <w:p>
      <w:pPr>
        <w:jc w:val="both"/>
        <w:spacing w:before="100" w:after="100"/>
        <w:ind w:start="360"/>
        <w:ind w:firstLine="360"/>
      </w:pPr>
      <w:r>
        <w:rPr/>
      </w:r>
      <w:r>
        <w:rPr/>
      </w:r>
      <w:r>
        <w:t xml:space="preserve">It is the legislative intent that the provisions of this compact be reasonably and liberally construed. The provisions of this compact shall be severable and if any phrase, clause, sentence or provision of this compact is declared to be unconstitutional or the applicability thereof, to any state, agency, person or circumstance is held invalid, the constitutionality of the remainder of this compact and the applicability thereof, to any other state, agency, person or circumstance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