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Compact administrator for Maine</w:t>
      </w:r>
    </w:p>
    <w:p>
      <w:pPr>
        <w:jc w:val="both"/>
        <w:spacing w:before="100" w:after="100"/>
        <w:ind w:start="360"/>
        <w:ind w:firstLine="360"/>
      </w:pPr>
      <w:r>
        <w:rPr/>
      </w:r>
      <w:r>
        <w:rPr/>
      </w:r>
      <w:r>
        <w:t xml:space="preserve">The compact administrator for this State, as required by </w:t>
      </w:r>
      <w:r>
        <w:t>Article VI</w:t>
      </w:r>
      <w:r>
        <w:t xml:space="preserve"> of the compact, shall be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1967, c. 226 (NEW); 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 Compact administrator for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Compact administrator for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§761. COMPACT ADMINISTRATOR FOR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