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Rivers, streams, lakes and mountains</w:t>
      </w:r>
    </w:p>
    <w:p>
      <w:pPr>
        <w:jc w:val="both"/>
        <w:spacing w:before="100" w:after="100"/>
        <w:ind w:start="360"/>
        <w:ind w:firstLine="360"/>
      </w:pPr>
      <w:r>
        <w:rPr/>
      </w:r>
      <w:r>
        <w:rPr/>
      </w:r>
      <w:r>
        <w:t xml:space="preserve">The department is authorized and directed to place suitable markers, similar to those used in other states, along the state highways commencing with United States Route Number 1, designating the names of contiguous rivers, lakes, streams and other bodies of water and adjacent mountains.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is authorized to use any funds available for the construction of state highways and bridges and for the maintenance of the same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Rivers, streams, lakes and mountains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Rivers, streams, lakes and mountains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§1202. RIVERS, STREAMS, LAKES AND MOUNTAINS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