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1972</w:t>
        <w:t xml:space="preserve">.  </w:t>
      </w:r>
      <w:r>
        <w:rPr>
          <w:b/>
        </w:rPr>
        <w:t xml:space="preserve">Refunding bonds</w:t>
      </w:r>
    </w:p>
    <w:p>
      <w:pPr>
        <w:jc w:val="both"/>
        <w:spacing w:before="100" w:after="100"/>
        <w:ind w:start="360"/>
        <w:ind w:firstLine="360"/>
      </w:pPr>
      <w:r>
        <w:rPr/>
      </w:r>
      <w:r>
        <w:rPr/>
      </w:r>
      <w:r>
        <w:t xml:space="preserve">The authority is authorized to provide by resolution for the issuance of turnpike revenue refunding bonds of the authority, including notes or other obligations defined as bonds under this chapter for the purpose of refunding any bonds then outstanding, including the payment of any redemption premium thereon and any interest accrued or to accrue to the date of redemption of these bonds; and, if deemed advisable by the authority, for any additional purpose for which bonds authorized by this chapter may be issued.  The issuance of the bonds, the maturities and other details thereof, the rights of the holders thereof and the rights, duties and obligations of the authority in respect of those rights, duties and obligations, shall be governed by this chapter insofar as these rights, duties and obligations may be applicable.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§1972. 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§1972. 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§1972. 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