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1982</w:t>
        <w:t xml:space="preserve">.  </w:t>
      </w:r>
      <w:r>
        <w:rPr>
          <w:b/>
        </w:rPr>
        <w:t xml:space="preserve">Confidentiality of authority records</w:t>
      </w:r>
    </w:p>
    <w:p>
      <w:pPr>
        <w:jc w:val="both"/>
        <w:spacing w:before="100" w:after="100"/>
        <w:ind w:start="360"/>
        <w:ind w:firstLine="360"/>
      </w:pPr>
      <w:r>
        <w:rPr/>
      </w:r>
      <w:r>
        <w:rPr/>
      </w:r>
      <w:r>
        <w:t xml:space="preserve">A log or record identifying the name, address or travel patterns of a patron of the turnpike, whether prepared for enforcement of authority tolls or other purposes of the authority, is for the exclusive use of the authority in the discharge of its duties under this chapter.  This material is confidential and is not available to the public except that a law enforcement officer or a representative of an insurance company making a request for specific records in the course of conducting the officer's or representative's business may have access to this material to the extent and in the manner access to such material is afforded under </w:t>
      </w:r>
      <w:r>
        <w:t>Title 1, chapter 13, subchapter I</w:t>
      </w:r>
      <w:r>
        <w:t xml:space="preserve">.  The authority may release accident and other incident reports to affected parties and may release information specific to a commuter pass account or commercial billing account to the holder of that account.  The authority may disclose patron information, including information gathered by photo-monitoring devices, to other toll administrative agencies that are participating with the authority in multiple-facility, electronic, transportation-related collection systems.</w:t>
      </w:r>
      <w:r>
        <w:t xml:space="preserve">  </w:t>
      </w:r>
      <w:r xmlns:wp="http://schemas.openxmlformats.org/drawingml/2010/wordprocessingDrawing" xmlns:w15="http://schemas.microsoft.com/office/word/2012/wordml">
        <w:rPr>
          <w:rFonts w:ascii="Arial" w:hAnsi="Arial" w:cs="Arial"/>
          <w:sz w:val="22"/>
          <w:szCs w:val="22"/>
        </w:rPr>
        <w:t xml:space="preserve">[PL 2001, c. 473,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339, §3 (NEW). PL 2001, c. 473,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§1982. Confidentiality of authority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§1982. Confidentiality of authority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§1982. CONFIDENTIALITY OF AUTHORITY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