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Damages; recovery</w:t>
      </w:r>
    </w:p>
    <w:p>
      <w:pPr>
        <w:jc w:val="both"/>
        <w:spacing w:before="100" w:after="100"/>
        <w:ind w:start="360"/>
        <w:ind w:firstLine="360"/>
      </w:pPr>
      <w:r>
        <w:rPr/>
      </w:r>
      <w:r>
        <w:rPr/>
      </w:r>
      <w:r>
        <w:t xml:space="preserve">A person entitled to receive payment of damages or costs may, after 30 days from demand on the treasurer of the county or town or on the party liable therefor, recover them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Damages;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Damages;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§2002. DAMAGES;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