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Appropriation insufficient</w:t>
      </w:r>
    </w:p>
    <w:p>
      <w:pPr>
        <w:jc w:val="both"/>
        <w:spacing w:before="100" w:after="100"/>
        <w:ind w:start="360"/>
        <w:ind w:firstLine="360"/>
      </w:pPr>
      <w:r>
        <w:rPr/>
      </w:r>
      <w:r>
        <w:rPr/>
      </w:r>
      <w:r>
        <w:t xml:space="preserve">When the amount appropriated is not sufficient to repair or maintain the ways, a road commissioner may, with the written consent of the municipal officers, pay an amount not exceeding 15% of the amount so appropriated in addition to the amount appropriated.</w:t>
      </w:r>
      <w:r>
        <w:t xml:space="preserve">  </w:t>
      </w:r>
      <w:r xmlns:wp="http://schemas.openxmlformats.org/drawingml/2010/wordprocessingDrawing" xmlns:w15="http://schemas.microsoft.com/office/word/2012/wordml">
        <w:rPr>
          <w:rFonts w:ascii="Arial" w:hAnsi="Arial" w:cs="Arial"/>
          <w:sz w:val="22"/>
          <w:szCs w:val="22"/>
        </w:rPr>
        <w:t xml:space="preserve">[PL 2009, c. 7,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272 (AMD). PL 2009, c. 7, Pt. D,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Appropriation insufficient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§2705. APPROPRIATION INSUFFICIENT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