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Liability of railroad company</w:t>
      </w:r>
    </w:p>
    <w:p>
      <w:pPr>
        <w:jc w:val="both"/>
        <w:spacing w:before="100" w:after="100"/>
        <w:ind w:start="360"/>
        <w:ind w:firstLine="360"/>
      </w:pPr>
      <w:r>
        <w:rPr/>
      </w:r>
      <w:r>
        <w:rPr/>
      </w:r>
      <w:r>
        <w:t xml:space="preserve">In such trial described in </w:t>
      </w:r>
      <w:r>
        <w:t>section 3701</w:t>
      </w:r>
      <w:r>
        <w:t xml:space="preserve">, after notice as provided therein, if the plaintiff recovers and the jury finds specially that the damage was occasioned by the fault of such company, it shall be liable to the defendants in said action in a civil action for all damage and costs paid by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Liability of railroad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Liability of railroad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§3702. LIABILITY OF RAILROAD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