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§7156. Employee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Employee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§7156. EMPLOYEE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