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Evidence of the insurance; changes;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§2008. EVIDENCE OF THE INSURANCE; CHANGES;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