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Seal</w:t>
      </w:r>
    </w:p>
    <w:p>
      <w:pPr>
        <w:jc w:val="both"/>
        <w:spacing w:before="100" w:after="100"/>
        <w:ind w:start="360"/>
        <w:ind w:firstLine="360"/>
      </w:pPr>
      <w:r>
        <w:rPr/>
      </w:r>
      <w:r>
        <w:rPr/>
      </w:r>
      <w:r>
        <w:t xml:space="preserve">The superintendent must have a seal of office of a suitable design, bearing the words "Insurance Superintendent of the State of Maine." The superintendent shall file an impression of the seal, duly certified by the superintendent under oath,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§149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§202.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§202.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