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Adherence to filings</w:t>
      </w:r>
    </w:p>
    <w:p>
      <w:pPr>
        <w:jc w:val="both"/>
        <w:spacing w:before="100" w:after="100"/>
        <w:ind w:start="360"/>
        <w:ind w:firstLine="360"/>
      </w:pPr>
      <w:r>
        <w:rPr/>
      </w:r>
      <w:r>
        <w:rPr/>
      </w:r>
      <w:r>
        <w:t xml:space="preserve">No insurer shall make or issue a contract or policy, except in accordance with the filings which are in effect for the insurer as provided in this chapter or in accordance with </w:t>
      </w:r>
      <w:r>
        <w:t>sections 2305</w:t>
      </w:r>
      <w:r>
        <w:t xml:space="preserve"> (exemption from filing) or </w:t>
      </w:r>
      <w:r>
        <w:t>2308</w:t>
      </w:r>
      <w:r>
        <w:t xml:space="preserve"> (excess rates). This section shall not apply to contracts or policies for inland marine risks as to which filings are not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§2316. Adherence to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Adherence to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§2316. ADHERENCE TO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