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	Reinstatement: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 provided, however, that if the insurer or such agent requires an application for reinstatement and issues a conditional receipt for the premium tendered, the policy will be reinstated upon approval of such application by the insurer or, lacking such approval, upon the 45th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herein or attached hereto in connection with the reinstatement. Any premium accepted in connection with a reinstatement shall be applied to a period for which premium has not been previously paid, but not to any period more than 60 days prior to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last sentence of the above provision may be omitted from any policy which the insured has the right to continue in force subject to its terms by the timely payment of premiums</w:t>
      </w:r>
    </w:p>
    <w:p>
      <w:pPr>
        <w:jc w:val="both"/>
        <w:spacing w:before="100" w:after="0"/>
        <w:ind w:start="720"/>
      </w:pPr>
      <w:r>
        <w:rPr/>
        <w:t>A</w:t>
        <w:t xml:space="preserve">.  </w:t>
      </w:r>
      <w:r>
        <w:rPr/>
      </w:r>
      <w:r>
        <w:t xml:space="preserve">Until at least age 50,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a policy issued after age 44, for at least 5 years from its date of issue.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§2708.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§2708.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