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applicants.</w:t>
        <w:t xml:space="preserve"> </w:t>
      </w:r>
      <w:r>
        <w:t xml:space="preserve"> </w:t>
      </w:r>
      <w:r>
        <w:t xml:space="preserve">At or before the time of application for any policy subject to this chapter that provides disability income benefits, the insurer shall provide the applicant with a clear and conspicuous written notice, on the application form or in a separate document, that accurately explains to the applicant all types of other sources of income that may result in a reduction of the benefits payable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§1 (NEW). PL 2005, c. 42,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§2717-A. Disability benefit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§2717-A. Disability benefit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§2717-A. DISABILITY BENEFIT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