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2833-A</w:t>
        <w:t xml:space="preserve">.  </w:t>
      </w:r>
      <w:r>
        <w:rPr>
          <w:b/>
        </w:rPr>
        <w:t xml:space="preserve">Extension of coverage for dependent children</w:t>
      </w:r>
    </w:p>
    <w:p>
      <w:pPr>
        <w:jc w:val="both"/>
        <w:spacing w:before="100" w:after="100"/>
        <w:ind w:start="360"/>
        <w:ind w:firstLine="360"/>
      </w:pPr>
      <w:r>
        <w:rPr/>
      </w:r>
      <w:r>
        <w:rPr/>
      </w:r>
      <w:r>
        <w:t xml:space="preserve">Notwithstanding </w:t>
      </w:r>
      <w:r>
        <w:t>section 2822</w:t>
      </w:r>
      <w:r>
        <w:t xml:space="preserve">, a group health insurance policy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policy. An insurer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2005, c. 532,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§2833-A. Extension of coverage for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§2833-A. Extension of coverage for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§2833-A. EXTENSION OF COVERAGE FOR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