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In the event the policy provides automobile physical damage coverage, like notice of intention not to renew must be given to any party named in the loss payable clause.  A post office department certificate of mailing to the named insured at the insured's last known address is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"driving experience," "credit report" and similar insurance terms are not by themselves acceptable explanations of an insurer's intended nonrenewal of an automobile insurance policy. A notice of a right to apply for a hearing before the superintendent within 30 days as provided in this section must accompany the notice of intent not to renew.</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(AMD).]</w:t>
      </w:r>
    </w:p>
    <w:p>
      <w:pPr>
        <w:jc w:val="both"/>
        <w:spacing w:before="100" w:after="0"/>
        <w:ind w:start="360"/>
        <w:ind w:firstLine="360"/>
      </w:pPr>
      <w:r>
        <w:rPr>
          <w:b/>
        </w:rPr>
        <w:t>3</w:t>
        <w:t xml:space="preserve">.  </w:t>
      </w:r>
      <w:r>
        <w:rPr>
          <w:b/>
        </w:rPr>
      </w:r>
      <w:r>
        <w:t xml:space="preserve"> </w:t>
      </w:r>
      <w:r>
        <w:t xml:space="preserve">If the insurer has transferred a policy to an affiliate.  Prior to the date of renewal of a policy that has been transferred by an insurer to an affiliate, the insured must receive notice of any changes to the terms of the policy that are less favorable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§4 (AMD). PL 1977, c. 597 (AMD). PL 1979, c. 347, §§5,6 (AMD). PL 2007, c. 188,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§2917. Notice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Notice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§2917. NOTICE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