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4234-E</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health maintenance organization individual and group contracts that provide coverage for prescription drugs must provide coverage for off-label use in accordance with the following.</w:t>
      </w:r>
    </w:p>
    <w:p>
      <w:pPr>
        <w:jc w:val="both"/>
        <w:spacing w:before="100" w:after="0"/>
        <w:ind w:start="720"/>
      </w:pPr>
      <w:r>
        <w:rPr/>
        <w:t>A</w:t>
        <w:t xml:space="preserve">.  </w:t>
      </w:r>
      <w:r>
        <w:rPr/>
      </w:r>
      <w:r>
        <w:t xml:space="preserve">Health maintenance organization individual and group contracts that provide coverage for prescription drugs may not exclude coverage of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§4234-E. Off-label use of prescription drugs for HIV or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§4234-E. Off-label use of prescription drugs for HIV or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§4234-E. OFF-LABEL USE OF PRESCRIPTION DRUGS FOR HIV OR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