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4317-E</w:t>
        <w:t xml:space="preserve">.  </w:t>
      </w:r>
      <w:r>
        <w:rPr>
          <w:b/>
        </w:rPr>
        <w:t xml:space="preserve">Coverage for emergency supply of chronic maintenance drugs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"chronic maintenance drug" has the same meaning as in </w:t>
      </w:r>
      <w:r>
        <w:t>Title 32, section 13786‑F,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w:t>
      </w:r>
    </w:p>
    <w:p>
      <w:pPr>
        <w:jc w:val="both"/>
        <w:spacing w:before="100" w:after="0"/>
        <w:ind w:start="360"/>
        <w:ind w:firstLine="360"/>
      </w:pPr>
      <w:r>
        <w:rPr>
          <w:b/>
        </w:rPr>
        <w:t>2</w:t>
        <w:t xml:space="preserve">.  </w:t>
      </w:r>
      <w:r>
        <w:rPr>
          <w:b/>
        </w:rPr>
        <w:t xml:space="preserve">Coverage required.</w:t>
        <w:t xml:space="preserve"> </w:t>
      </w:r>
      <w:r>
        <w:t xml:space="preserve"> </w:t>
      </w:r>
      <w:r>
        <w:t xml:space="preserve">A carrier offering a health plan in this State must make available coverage for an emergency supply of a chronic maintenance drug dispensed pursuant to </w:t>
      </w:r>
      <w:r>
        <w:t>Title 32, section 13786‑F</w:t>
      </w:r>
      <w:r>
        <w:t xml:space="preserve"> in the same manner as coverage for other drugs under the health plan. A carrier may impose any deductible, copayment, coinsurance or other cost-sharing requirement for the chronic maintenance drug as long as the amount of the deductible, copayment, coinsurance or other cost-sharing requirement is applied in the same manner as if the chronic maintenance drug were dispensed as prescribed by a provider.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health plan offered for use with a health savings account unless the federal Internal Revenue Service determines that the benefits required by this section are permissible benefits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§4317-E. Coverage for emergency supply of chronic maintenance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§4317-E. Coverage for emergency supply of chronic maintenance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§4317-E. COVERAGE FOR EMERGENCY SUPPLY OF CHRONIC MAINTENANCE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