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4319-A</w:t>
        <w:t xml:space="preserve">.  </w:t>
      </w:r>
      <w:r>
        <w:rPr>
          <w:b/>
        </w:rPr>
        <w:t xml:space="preserve">Guaranteed issue</w:t>
      </w:r>
    </w:p>
    <w:p>
      <w:pPr>
        <w:jc w:val="both"/>
        <w:spacing w:before="100" w:after="100"/>
        <w:ind w:start="360"/>
        <w:ind w:firstLine="360"/>
      </w:pPr>
      <w:r>
        <w:rPr/>
      </w:r>
      <w:r>
        <w:rPr/>
      </w:r>
      <w:r>
        <w:t xml:space="preserve">A carrier offering a health plan in this State in the individual, small group or large group market must offer to an individual or group in the State all health plans that are approved for sale in the applicable market and must accept any individual or group that applies for any of those health plans in accordance with the requirements of </w:t>
      </w:r>
      <w:r>
        <w:t>section 2736‑C, subsection 3</w:t>
      </w:r>
      <w:r>
        <w:t xml:space="preserve"> and </w:t>
      </w:r>
      <w:r>
        <w:t>section 2808‑B, subsection 4</w:t>
      </w:r>
      <w:r>
        <w:t xml:space="preserve"> and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§4319-A. Guaranteed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§4319-A. Guaranteed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§4319-A. GUARANTEED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