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5006-A</w:t>
        <w:t xml:space="preserve">.  </w:t>
      </w:r>
      <w:r>
        <w:rPr>
          <w:b/>
        </w:rPr>
        <w:t xml:space="preserve">Filing requirements for advertising</w:t>
      </w:r>
    </w:p>
    <w:p>
      <w:pPr>
        <w:jc w:val="both"/>
        <w:spacing w:before="100" w:after="100"/>
        <w:ind w:start="360"/>
        <w:ind w:firstLine="360"/>
      </w:pPr>
      <w:r>
        <w:rPr/>
      </w:r>
      <w:r>
        <w:rPr/>
      </w:r>
      <w:r>
        <w:t xml:space="preserve">Every issuer of Medicare supplement insurance policies or certificates in this State shall provide a copy of any Medicare supplement advertisement intended for use in this State, whether through written, radio or television medium, to the superintendent for review or approval by the superintendent at least 30 days prior to the date the advertisement will be used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740,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§5006-A. Filing requirements for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§5006-A. Filing requirements for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§5006-A. FILING REQUIREMENTS FOR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