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§5053. RULEMAKING, DISCLOSURE STANDARDS,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