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w:t>
        <w:t xml:space="preserve">.  </w:t>
      </w:r>
      <w:r>
        <w:rPr>
          <w:b/>
        </w:rPr>
        <w:t xml:space="preserve">Penalties and enforcement</w:t>
      </w:r>
    </w:p>
    <w:p>
      <w:pPr>
        <w:jc w:val="both"/>
        <w:spacing w:before="100" w:after="0"/>
        <w:ind w:start="360"/>
        <w:ind w:firstLine="360"/>
      </w:pPr>
      <w:r>
        <w:rPr>
          <w:b/>
        </w:rPr>
        <w:t>1</w:t>
        <w:t xml:space="preserve">.  </w:t>
      </w:r>
      <w:r>
        <w:rPr>
          <w:b/>
        </w:rPr>
        <w:t xml:space="preserve">Cease and desist order.</w:t>
        <w:t xml:space="preserve"> </w:t>
      </w:r>
      <w:r>
        <w:t xml:space="preserve"> </w:t>
      </w:r>
      <w:r>
        <w:t xml:space="preserve">The superintendent may issue an order directing a provider to cease and desist from engaging in any act or practice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Superior Court.</w:t>
        <w:t xml:space="preserve"> </w:t>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may apply for an order of the court to command performance consistent with contractual obligations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Civil penalties.</w:t>
        <w:t xml:space="preserve"> </w:t>
      </w:r>
      <w:r>
        <w:t xml:space="preserve"> </w:t>
      </w:r>
      <w:r>
        <w:t xml:space="preserve">A person or organization in violation of this chapter shall be subject to a civil penalty of not more than $1,000 for each violation, payable to the State, to be recovered in a civil action. If a violation is willful, the person or organization shall be subject to a civil penalty of not more than $10,000 for each violation, payable to the State, to be recovered in a civil action. These penalties  may be in addition to any other penalty provided by law. A separate violation may be held to exist for each day that the violation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Class E crime.</w:t>
        <w:t xml:space="preserve"> </w:t>
      </w:r>
      <w:r>
        <w:t xml:space="preserve"> </w:t>
      </w:r>
      <w:r>
        <w:t xml:space="preserve">Any person that violates any provision of this chapter commits a Class E crime. Each violation of this chapter shall constitute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§6217. Penalties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 Penalties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§6217. PENALTIES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