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ind w:firstLine="360"/>
      </w:pPr>
      <w:r>
        <w:rPr/>
      </w:r>
      <w:r>
        <w:rPr/>
      </w:r>
      <w:r>
        <w:t xml:space="preserve">This chapter is known and may be cited as the "Rural Medical Access Program."</w:t>
      </w:r>
      <w:r>
        <w:t xml:space="preserve">  </w:t>
      </w:r>
      <w:r xmlns:wp="http://schemas.openxmlformats.org/drawingml/2010/wordprocessingDrawing" xmlns:w15="http://schemas.microsoft.com/office/word/2012/wordml">
        <w:rPr>
          <w:rFonts w:ascii="Arial" w:hAnsi="Arial" w:cs="Arial"/>
          <w:sz w:val="22"/>
          <w:szCs w:val="22"/>
        </w:rPr>
        <w:t xml:space="preserve">[PL 1989, c. 931,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